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AC" w:rsidRDefault="007B7BAC" w:rsidP="00E67270">
      <w:pPr>
        <w:jc w:val="center"/>
        <w:rPr>
          <w:rFonts w:ascii="Arial" w:hAnsi="Arial" w:cs="Arial"/>
        </w:rPr>
      </w:pPr>
    </w:p>
    <w:p w:rsidR="00E67270" w:rsidRDefault="00E67270" w:rsidP="00E67270">
      <w:pPr>
        <w:jc w:val="center"/>
        <w:rPr>
          <w:rFonts w:ascii="Arial" w:hAnsi="Arial" w:cs="Arial"/>
        </w:rPr>
      </w:pPr>
    </w:p>
    <w:p w:rsidR="00E67270" w:rsidRDefault="00E67270" w:rsidP="00E67270">
      <w:pPr>
        <w:jc w:val="center"/>
        <w:rPr>
          <w:rFonts w:ascii="Arial" w:hAnsi="Arial" w:cs="Arial"/>
        </w:rPr>
      </w:pPr>
    </w:p>
    <w:p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Annual Report of Harrow Council’s Governance Audit</w:t>
      </w:r>
      <w:r w:rsidR="006733FA">
        <w:rPr>
          <w:rFonts w:ascii="Arial" w:hAnsi="Arial" w:cs="Arial"/>
          <w:b/>
          <w:sz w:val="28"/>
          <w:szCs w:val="28"/>
        </w:rPr>
        <w:t xml:space="preserve">, </w:t>
      </w:r>
      <w:r>
        <w:rPr>
          <w:rFonts w:ascii="Arial" w:hAnsi="Arial" w:cs="Arial"/>
          <w:b/>
          <w:sz w:val="28"/>
          <w:szCs w:val="28"/>
        </w:rPr>
        <w:t xml:space="preserve">Risk Management </w:t>
      </w:r>
      <w:r w:rsidR="006733FA">
        <w:rPr>
          <w:rFonts w:ascii="Arial" w:hAnsi="Arial" w:cs="Arial"/>
          <w:b/>
          <w:sz w:val="28"/>
          <w:szCs w:val="28"/>
        </w:rPr>
        <w:t>&amp; Standards</w:t>
      </w:r>
      <w:bookmarkStart w:id="0" w:name="_GoBack"/>
      <w:bookmarkEnd w:id="0"/>
      <w:r w:rsidR="006733FA">
        <w:rPr>
          <w:rFonts w:ascii="Arial" w:hAnsi="Arial" w:cs="Arial"/>
          <w:b/>
          <w:sz w:val="28"/>
          <w:szCs w:val="28"/>
        </w:rPr>
        <w:t xml:space="preserve"> </w:t>
      </w:r>
      <w:r>
        <w:rPr>
          <w:rFonts w:ascii="Arial" w:hAnsi="Arial" w:cs="Arial"/>
          <w:b/>
          <w:sz w:val="28"/>
          <w:szCs w:val="28"/>
        </w:rPr>
        <w:t>Committee</w:t>
      </w:r>
    </w:p>
    <w:p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2018/19</w:t>
      </w:r>
    </w:p>
    <w:p w:rsidR="00E67270" w:rsidRDefault="00E67270" w:rsidP="00E67270">
      <w:pPr>
        <w:tabs>
          <w:tab w:val="left" w:pos="3984"/>
        </w:tabs>
        <w:rPr>
          <w:rFonts w:ascii="Arial" w:hAnsi="Arial" w:cs="Arial"/>
          <w:sz w:val="28"/>
          <w:szCs w:val="28"/>
        </w:rPr>
      </w:pPr>
      <w:r>
        <w:rPr>
          <w:rFonts w:ascii="Arial" w:hAnsi="Arial" w:cs="Arial"/>
          <w:sz w:val="28"/>
          <w:szCs w:val="28"/>
        </w:rPr>
        <w:tab/>
      </w: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tabs>
          <w:tab w:val="left" w:pos="3984"/>
        </w:tabs>
        <w:rPr>
          <w:rFonts w:ascii="Arial" w:hAnsi="Arial" w:cs="Arial"/>
          <w:sz w:val="28"/>
          <w:szCs w:val="28"/>
        </w:rPr>
      </w:pPr>
    </w:p>
    <w:p w:rsidR="00E67270" w:rsidRDefault="00E67270" w:rsidP="00E67270">
      <w:pPr>
        <w:shd w:val="clear" w:color="auto" w:fill="D9D9D9" w:themeFill="background1" w:themeFillShade="D9"/>
        <w:tabs>
          <w:tab w:val="left" w:pos="3984"/>
        </w:tabs>
        <w:rPr>
          <w:rFonts w:ascii="Arial" w:hAnsi="Arial" w:cs="Arial"/>
          <w:b/>
          <w:sz w:val="24"/>
          <w:szCs w:val="24"/>
        </w:rPr>
      </w:pPr>
      <w:r w:rsidRPr="00E67270">
        <w:rPr>
          <w:rFonts w:ascii="Arial" w:hAnsi="Arial" w:cs="Arial"/>
          <w:b/>
          <w:sz w:val="24"/>
          <w:szCs w:val="24"/>
        </w:rPr>
        <w:lastRenderedPageBreak/>
        <w:t>Chairs</w:t>
      </w:r>
      <w:r>
        <w:rPr>
          <w:rFonts w:ascii="Arial" w:hAnsi="Arial" w:cs="Arial"/>
          <w:b/>
          <w:sz w:val="24"/>
          <w:szCs w:val="24"/>
        </w:rPr>
        <w:t xml:space="preserve"> Forward</w:t>
      </w:r>
    </w:p>
    <w:p w:rsidR="00E67270" w:rsidRDefault="00E67270" w:rsidP="00E67270">
      <w:pPr>
        <w:tabs>
          <w:tab w:val="left" w:pos="3180"/>
        </w:tabs>
        <w:rPr>
          <w:rFonts w:ascii="Arial" w:hAnsi="Arial" w:cs="Arial"/>
          <w:sz w:val="24"/>
          <w:szCs w:val="24"/>
        </w:rPr>
      </w:pPr>
      <w:r>
        <w:rPr>
          <w:rFonts w:ascii="Arial" w:hAnsi="Arial" w:cs="Arial"/>
          <w:sz w:val="24"/>
          <w:szCs w:val="24"/>
        </w:rPr>
        <w:t>Anything the Chair would like to say about the committee, anything within the report he would like to draw attention to, any thanks etc.</w:t>
      </w:r>
    </w:p>
    <w:p w:rsidR="00E67270" w:rsidRDefault="00E67270" w:rsidP="00E67270">
      <w:pPr>
        <w:tabs>
          <w:tab w:val="left" w:pos="3180"/>
        </w:tabs>
        <w:rPr>
          <w:rFonts w:ascii="Arial" w:hAnsi="Arial" w:cs="Arial"/>
          <w:sz w:val="24"/>
          <w:szCs w:val="24"/>
        </w:rPr>
      </w:pPr>
    </w:p>
    <w:p w:rsidR="00E67270" w:rsidRDefault="00E67270" w:rsidP="00E67270">
      <w:pPr>
        <w:tabs>
          <w:tab w:val="left" w:pos="3180"/>
        </w:tabs>
        <w:rPr>
          <w:rFonts w:ascii="Arial" w:hAnsi="Arial" w:cs="Arial"/>
          <w:sz w:val="24"/>
          <w:szCs w:val="24"/>
        </w:rPr>
      </w:pPr>
      <w:r w:rsidRPr="00E67270">
        <w:rPr>
          <w:rFonts w:ascii="Arial" w:hAnsi="Arial" w:cs="Arial"/>
          <w:b/>
          <w:sz w:val="24"/>
          <w:szCs w:val="24"/>
          <w:shd w:val="clear" w:color="auto" w:fill="D9D9D9" w:themeFill="background1" w:themeFillShade="D9"/>
        </w:rPr>
        <w:t>Introduction</w:t>
      </w:r>
      <w:r>
        <w:rPr>
          <w:rFonts w:ascii="Arial" w:hAnsi="Arial" w:cs="Arial"/>
          <w:b/>
          <w:sz w:val="24"/>
          <w:szCs w:val="24"/>
          <w:shd w:val="clear" w:color="auto" w:fill="D9D9D9" w:themeFill="background1" w:themeFillShade="D9"/>
        </w:rPr>
        <w:t xml:space="preserve">                                                                                                            </w:t>
      </w:r>
      <w:r>
        <w:rPr>
          <w:rFonts w:ascii="Arial" w:hAnsi="Arial" w:cs="Arial"/>
          <w:sz w:val="24"/>
          <w:szCs w:val="24"/>
        </w:rPr>
        <w:tab/>
      </w:r>
    </w:p>
    <w:p w:rsidR="001C00B6" w:rsidRDefault="00397921" w:rsidP="00E67270">
      <w:pPr>
        <w:tabs>
          <w:tab w:val="left" w:pos="3180"/>
        </w:tabs>
        <w:rPr>
          <w:rFonts w:ascii="Arial" w:hAnsi="Arial" w:cs="Arial"/>
          <w:sz w:val="24"/>
          <w:szCs w:val="24"/>
        </w:rPr>
      </w:pPr>
      <w:r>
        <w:rPr>
          <w:rFonts w:ascii="Arial" w:hAnsi="Arial" w:cs="Arial"/>
          <w:sz w:val="24"/>
          <w:szCs w:val="24"/>
        </w:rPr>
        <w:t xml:space="preserve">The </w:t>
      </w:r>
      <w:r w:rsidR="001C00B6">
        <w:rPr>
          <w:rFonts w:ascii="Arial" w:hAnsi="Arial" w:cs="Arial"/>
          <w:sz w:val="24"/>
          <w:szCs w:val="24"/>
        </w:rPr>
        <w:t xml:space="preserve">cover the </w:t>
      </w:r>
      <w:r>
        <w:rPr>
          <w:rFonts w:ascii="Arial" w:hAnsi="Arial" w:cs="Arial"/>
          <w:sz w:val="24"/>
          <w:szCs w:val="24"/>
        </w:rPr>
        <w:t>purpose of the report</w:t>
      </w:r>
      <w:r w:rsidR="001C00B6">
        <w:rPr>
          <w:rFonts w:ascii="Arial" w:hAnsi="Arial" w:cs="Arial"/>
          <w:sz w:val="24"/>
          <w:szCs w:val="24"/>
        </w:rPr>
        <w:t>,</w:t>
      </w:r>
      <w:r>
        <w:rPr>
          <w:rFonts w:ascii="Arial" w:hAnsi="Arial" w:cs="Arial"/>
          <w:sz w:val="24"/>
          <w:szCs w:val="24"/>
        </w:rPr>
        <w:t xml:space="preserve"> i.e. to explain the </w:t>
      </w:r>
      <w:r w:rsidR="001C00B6">
        <w:rPr>
          <w:rFonts w:ascii="Arial" w:hAnsi="Arial" w:cs="Arial"/>
          <w:sz w:val="24"/>
          <w:szCs w:val="24"/>
        </w:rPr>
        <w:t xml:space="preserve">Committee’s </w:t>
      </w:r>
      <w:r>
        <w:rPr>
          <w:rFonts w:ascii="Arial" w:hAnsi="Arial" w:cs="Arial"/>
          <w:sz w:val="24"/>
          <w:szCs w:val="24"/>
        </w:rPr>
        <w:t xml:space="preserve">purpose </w:t>
      </w:r>
      <w:r w:rsidR="001C00B6">
        <w:rPr>
          <w:rFonts w:ascii="Arial" w:hAnsi="Arial" w:cs="Arial"/>
          <w:sz w:val="24"/>
          <w:szCs w:val="24"/>
        </w:rPr>
        <w:t>(as per the Terms of Reference);</w:t>
      </w:r>
      <w:r>
        <w:rPr>
          <w:rFonts w:ascii="Arial" w:hAnsi="Arial" w:cs="Arial"/>
          <w:sz w:val="24"/>
          <w:szCs w:val="24"/>
        </w:rPr>
        <w:t xml:space="preserve"> </w:t>
      </w:r>
      <w:r w:rsidR="001C00B6">
        <w:rPr>
          <w:rFonts w:ascii="Arial" w:hAnsi="Arial" w:cs="Arial"/>
          <w:sz w:val="24"/>
          <w:szCs w:val="24"/>
        </w:rPr>
        <w:t xml:space="preserve">to summarise the </w:t>
      </w:r>
      <w:r>
        <w:rPr>
          <w:rFonts w:ascii="Arial" w:hAnsi="Arial" w:cs="Arial"/>
          <w:sz w:val="24"/>
          <w:szCs w:val="24"/>
        </w:rPr>
        <w:t>work of the Committee</w:t>
      </w:r>
      <w:r w:rsidR="001C00B6">
        <w:rPr>
          <w:rFonts w:ascii="Arial" w:hAnsi="Arial" w:cs="Arial"/>
          <w:sz w:val="24"/>
          <w:szCs w:val="24"/>
        </w:rPr>
        <w:t xml:space="preserve"> undertaken in the given financial year; to conclude whether the committee has fulfilled its purpose; and to</w:t>
      </w:r>
      <w:r w:rsidR="00BD3B32">
        <w:rPr>
          <w:rFonts w:ascii="Arial" w:hAnsi="Arial" w:cs="Arial"/>
          <w:sz w:val="24"/>
          <w:szCs w:val="24"/>
        </w:rPr>
        <w:t xml:space="preserve"> </w:t>
      </w:r>
      <w:r w:rsidR="001C00B6">
        <w:rPr>
          <w:rFonts w:ascii="Arial" w:hAnsi="Arial" w:cs="Arial"/>
          <w:sz w:val="24"/>
          <w:szCs w:val="24"/>
        </w:rPr>
        <w:t>report on its own or internal audit’s assessment of its effectiveness.</w:t>
      </w:r>
    </w:p>
    <w:p w:rsidR="001C00B6" w:rsidRDefault="001C00B6" w:rsidP="001C00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Terms of Reference and Membership</w:t>
      </w:r>
    </w:p>
    <w:p w:rsidR="00EA69B6" w:rsidRDefault="00DC652E" w:rsidP="00E67270">
      <w:pPr>
        <w:tabs>
          <w:tab w:val="left" w:pos="3180"/>
        </w:tabs>
        <w:rPr>
          <w:rFonts w:ascii="Arial" w:hAnsi="Arial" w:cs="Arial"/>
          <w:sz w:val="24"/>
          <w:szCs w:val="24"/>
        </w:rPr>
      </w:pPr>
      <w:r>
        <w:rPr>
          <w:rFonts w:ascii="Arial" w:hAnsi="Arial" w:cs="Arial"/>
          <w:sz w:val="24"/>
          <w:szCs w:val="24"/>
        </w:rPr>
        <w:t>To cover the scope of the Committee’s Terms of Reference, its membership within the given year</w:t>
      </w:r>
      <w:r w:rsidR="00046FBE">
        <w:rPr>
          <w:rFonts w:ascii="Arial" w:hAnsi="Arial" w:cs="Arial"/>
          <w:sz w:val="24"/>
          <w:szCs w:val="24"/>
        </w:rPr>
        <w:t xml:space="preserve"> and whether it adhered to its membership </w:t>
      </w:r>
      <w:proofErr w:type="spellStart"/>
      <w:r w:rsidR="00046FBE">
        <w:rPr>
          <w:rFonts w:ascii="Arial" w:hAnsi="Arial" w:cs="Arial"/>
          <w:sz w:val="24"/>
          <w:szCs w:val="24"/>
        </w:rPr>
        <w:t>rulesand</w:t>
      </w:r>
      <w:proofErr w:type="spellEnd"/>
      <w:r>
        <w:rPr>
          <w:rFonts w:ascii="Arial" w:hAnsi="Arial" w:cs="Arial"/>
          <w:sz w:val="24"/>
          <w:szCs w:val="24"/>
        </w:rPr>
        <w:t xml:space="preserve"> the frequency of meetings</w:t>
      </w:r>
      <w:r w:rsidR="00EA69B6">
        <w:rPr>
          <w:rFonts w:ascii="Arial" w:hAnsi="Arial" w:cs="Arial"/>
          <w:sz w:val="24"/>
          <w:szCs w:val="24"/>
        </w:rPr>
        <w:t xml:space="preserve"> e.g. usually 5 but only 4 during 2018/19 due to the local elections</w:t>
      </w:r>
      <w:r>
        <w:rPr>
          <w:rFonts w:ascii="Arial" w:hAnsi="Arial" w:cs="Arial"/>
          <w:sz w:val="24"/>
          <w:szCs w:val="24"/>
        </w:rPr>
        <w:t>. It could also cover, in broad terms, the skills and experience of the members.</w:t>
      </w:r>
    </w:p>
    <w:p w:rsidR="001C00B6" w:rsidRPr="00EA69B6" w:rsidRDefault="00EA69B6" w:rsidP="00EA69B6">
      <w:pPr>
        <w:shd w:val="clear" w:color="auto" w:fill="D9D9D9" w:themeFill="background1" w:themeFillShade="D9"/>
        <w:tabs>
          <w:tab w:val="left" w:pos="3180"/>
        </w:tabs>
        <w:rPr>
          <w:rFonts w:ascii="Arial" w:hAnsi="Arial" w:cs="Arial"/>
          <w:b/>
          <w:sz w:val="24"/>
          <w:szCs w:val="24"/>
        </w:rPr>
      </w:pPr>
      <w:r w:rsidRPr="00EA69B6">
        <w:rPr>
          <w:rFonts w:ascii="Arial" w:hAnsi="Arial" w:cs="Arial"/>
          <w:b/>
          <w:sz w:val="24"/>
          <w:szCs w:val="24"/>
        </w:rPr>
        <w:t xml:space="preserve">The Committee’s Programme of Work </w:t>
      </w:r>
      <w:r w:rsidR="00DC652E" w:rsidRPr="00EA69B6">
        <w:rPr>
          <w:rFonts w:ascii="Arial" w:hAnsi="Arial" w:cs="Arial"/>
          <w:b/>
          <w:sz w:val="24"/>
          <w:szCs w:val="24"/>
        </w:rPr>
        <w:t xml:space="preserve">    </w:t>
      </w:r>
    </w:p>
    <w:p w:rsidR="00EA69B6" w:rsidRDefault="00EA69B6" w:rsidP="00E67270">
      <w:pPr>
        <w:tabs>
          <w:tab w:val="left" w:pos="3180"/>
        </w:tabs>
        <w:rPr>
          <w:rFonts w:ascii="Arial" w:hAnsi="Arial" w:cs="Arial"/>
          <w:sz w:val="24"/>
          <w:szCs w:val="24"/>
        </w:rPr>
      </w:pPr>
      <w:proofErr w:type="gramStart"/>
      <w:r w:rsidRPr="00EA69B6">
        <w:rPr>
          <w:rFonts w:ascii="Arial" w:hAnsi="Arial" w:cs="Arial"/>
          <w:sz w:val="24"/>
          <w:szCs w:val="24"/>
        </w:rPr>
        <w:t xml:space="preserve">To </w:t>
      </w:r>
      <w:r>
        <w:rPr>
          <w:rFonts w:ascii="Arial" w:hAnsi="Arial" w:cs="Arial"/>
          <w:sz w:val="24"/>
          <w:szCs w:val="24"/>
        </w:rPr>
        <w:t>provide an overview of the work undertaken by the Committee in the given year – possibly to include an appendix showing reports considered at each meeting.</w:t>
      </w:r>
      <w:proofErr w:type="gramEnd"/>
      <w:r>
        <w:rPr>
          <w:rFonts w:ascii="Arial" w:hAnsi="Arial" w:cs="Arial"/>
          <w:sz w:val="24"/>
          <w:szCs w:val="24"/>
        </w:rPr>
        <w:t xml:space="preserve"> This would lead onto individual sections for each main area of the Committee’s responsibilities:</w:t>
      </w:r>
    </w:p>
    <w:p w:rsidR="00EA69B6" w:rsidRPr="00EA69B6" w:rsidRDefault="00EA69B6" w:rsidP="00EA69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Governance</w:t>
      </w:r>
    </w:p>
    <w:p w:rsidR="001C00B6" w:rsidRDefault="00E91B4D" w:rsidP="00E67270">
      <w:pPr>
        <w:tabs>
          <w:tab w:val="left" w:pos="3180"/>
        </w:tabs>
        <w:rPr>
          <w:rFonts w:ascii="Arial" w:hAnsi="Arial" w:cs="Arial"/>
          <w:sz w:val="24"/>
          <w:szCs w:val="24"/>
        </w:rPr>
      </w:pPr>
      <w:r>
        <w:rPr>
          <w:rFonts w:ascii="Arial" w:hAnsi="Arial" w:cs="Arial"/>
          <w:sz w:val="24"/>
          <w:szCs w:val="24"/>
        </w:rPr>
        <w:t xml:space="preserve">The work of the Committee in reviewing the corporate governance arrangements including </w:t>
      </w:r>
      <w:proofErr w:type="spellStart"/>
      <w:r>
        <w:rPr>
          <w:rFonts w:ascii="Arial" w:hAnsi="Arial" w:cs="Arial"/>
          <w:sz w:val="24"/>
          <w:szCs w:val="24"/>
        </w:rPr>
        <w:t>vfm</w:t>
      </w:r>
      <w:proofErr w:type="spellEnd"/>
      <w:r>
        <w:rPr>
          <w:rFonts w:ascii="Arial" w:hAnsi="Arial" w:cs="Arial"/>
          <w:sz w:val="24"/>
          <w:szCs w:val="24"/>
        </w:rPr>
        <w:t xml:space="preserve"> arrangements and partnership governance, the review of the Annual Governance Statement prior to approval and the monitoring of agreed actions to close significant governance gaps.</w:t>
      </w:r>
      <w:r w:rsidR="00EA69B6">
        <w:rPr>
          <w:rFonts w:ascii="Arial" w:hAnsi="Arial" w:cs="Arial"/>
          <w:sz w:val="24"/>
          <w:szCs w:val="24"/>
        </w:rPr>
        <w:t xml:space="preserve"> </w:t>
      </w:r>
    </w:p>
    <w:p w:rsidR="00EA69B6" w:rsidRPr="00EA69B6" w:rsidRDefault="00EA69B6" w:rsidP="00EA69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Risk Management</w:t>
      </w:r>
    </w:p>
    <w:p w:rsidR="001C00B6" w:rsidRDefault="00E91B4D" w:rsidP="00E67270">
      <w:pPr>
        <w:tabs>
          <w:tab w:val="left" w:pos="3180"/>
        </w:tabs>
        <w:rPr>
          <w:rFonts w:ascii="Arial" w:hAnsi="Arial" w:cs="Arial"/>
          <w:sz w:val="24"/>
          <w:szCs w:val="24"/>
        </w:rPr>
      </w:pPr>
      <w:proofErr w:type="gramStart"/>
      <w:r>
        <w:rPr>
          <w:rFonts w:ascii="Arial" w:hAnsi="Arial" w:cs="Arial"/>
          <w:sz w:val="24"/>
          <w:szCs w:val="24"/>
        </w:rPr>
        <w:t>The quarterly review of the Corporate Risk Register.</w:t>
      </w:r>
      <w:proofErr w:type="gramEnd"/>
    </w:p>
    <w:p w:rsidR="00EA69B6" w:rsidRPr="00EA69B6" w:rsidRDefault="00EA69B6" w:rsidP="00EA69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Countering Fraud and Corruption</w:t>
      </w:r>
    </w:p>
    <w:p w:rsidR="001C00B6" w:rsidRDefault="00E91B4D" w:rsidP="00E67270">
      <w:pPr>
        <w:tabs>
          <w:tab w:val="left" w:pos="3180"/>
        </w:tabs>
        <w:rPr>
          <w:rFonts w:ascii="Arial" w:hAnsi="Arial" w:cs="Arial"/>
          <w:sz w:val="24"/>
          <w:szCs w:val="24"/>
        </w:rPr>
      </w:pPr>
      <w:r>
        <w:rPr>
          <w:rFonts w:ascii="Arial" w:hAnsi="Arial" w:cs="Arial"/>
          <w:sz w:val="24"/>
          <w:szCs w:val="24"/>
        </w:rPr>
        <w:t>The Committee’s monitoring of the counter-fraud strategy</w:t>
      </w:r>
      <w:r w:rsidR="005A0820">
        <w:rPr>
          <w:rFonts w:ascii="Arial" w:hAnsi="Arial" w:cs="Arial"/>
          <w:sz w:val="24"/>
          <w:szCs w:val="24"/>
        </w:rPr>
        <w:t xml:space="preserve">, the approval of the annual fraud plan and the team’s performance against the plan and key achievements in terms of fraud’s detected and successfully investigated. </w:t>
      </w:r>
    </w:p>
    <w:p w:rsidR="00046FBE" w:rsidRDefault="00046FBE" w:rsidP="00046FBE">
      <w:pPr>
        <w:shd w:val="clear" w:color="auto" w:fill="D9D9D9" w:themeFill="background1" w:themeFillShade="D9"/>
        <w:tabs>
          <w:tab w:val="left" w:pos="3180"/>
        </w:tabs>
        <w:rPr>
          <w:rFonts w:ascii="Arial" w:hAnsi="Arial" w:cs="Arial"/>
          <w:b/>
          <w:sz w:val="24"/>
          <w:szCs w:val="24"/>
        </w:rPr>
      </w:pPr>
      <w:r w:rsidRPr="00046FBE">
        <w:rPr>
          <w:rFonts w:ascii="Arial" w:hAnsi="Arial" w:cs="Arial"/>
          <w:b/>
          <w:sz w:val="24"/>
          <w:szCs w:val="24"/>
        </w:rPr>
        <w:t>Internal Audit</w:t>
      </w:r>
      <w:r w:rsidR="00397921" w:rsidRPr="00046FBE">
        <w:rPr>
          <w:rFonts w:ascii="Arial" w:hAnsi="Arial" w:cs="Arial"/>
          <w:b/>
          <w:sz w:val="24"/>
          <w:szCs w:val="24"/>
        </w:rPr>
        <w:t xml:space="preserve"> </w:t>
      </w:r>
    </w:p>
    <w:p w:rsidR="00E67270" w:rsidRDefault="005A0820" w:rsidP="00046FBE">
      <w:pPr>
        <w:rPr>
          <w:rFonts w:ascii="Arial" w:hAnsi="Arial" w:cs="Arial"/>
          <w:sz w:val="24"/>
          <w:szCs w:val="24"/>
        </w:rPr>
      </w:pPr>
      <w:r>
        <w:rPr>
          <w:rFonts w:ascii="Arial" w:hAnsi="Arial" w:cs="Arial"/>
          <w:sz w:val="24"/>
          <w:szCs w:val="24"/>
        </w:rPr>
        <w:t>The Committees approval of the Internal Audit Charter and its review of its independence, the approval of the internal audit plan and any significant changes made to the plan during the year</w:t>
      </w:r>
      <w:r w:rsidR="003F51FC">
        <w:rPr>
          <w:rFonts w:ascii="Arial" w:hAnsi="Arial" w:cs="Arial"/>
          <w:sz w:val="24"/>
          <w:szCs w:val="24"/>
        </w:rPr>
        <w:t xml:space="preserve">. </w:t>
      </w:r>
      <w:proofErr w:type="gramStart"/>
      <w:r w:rsidR="003F51FC">
        <w:rPr>
          <w:rFonts w:ascii="Arial" w:hAnsi="Arial" w:cs="Arial"/>
          <w:sz w:val="24"/>
          <w:szCs w:val="24"/>
        </w:rPr>
        <w:t>The HIA’s overall audit opinion.</w:t>
      </w:r>
      <w:proofErr w:type="gramEnd"/>
    </w:p>
    <w:p w:rsidR="00046FBE" w:rsidRDefault="00046FBE" w:rsidP="00046FBE">
      <w:pPr>
        <w:shd w:val="clear" w:color="auto" w:fill="D9D9D9" w:themeFill="background1" w:themeFillShade="D9"/>
        <w:rPr>
          <w:rFonts w:ascii="Arial" w:hAnsi="Arial" w:cs="Arial"/>
          <w:b/>
          <w:sz w:val="24"/>
          <w:szCs w:val="24"/>
        </w:rPr>
      </w:pPr>
      <w:r>
        <w:rPr>
          <w:rFonts w:ascii="Arial" w:hAnsi="Arial" w:cs="Arial"/>
          <w:b/>
          <w:sz w:val="24"/>
          <w:szCs w:val="24"/>
        </w:rPr>
        <w:lastRenderedPageBreak/>
        <w:t>External Audit</w:t>
      </w:r>
    </w:p>
    <w:p w:rsidR="00046FBE" w:rsidRDefault="003F51FC" w:rsidP="00046FBE">
      <w:pPr>
        <w:rPr>
          <w:rFonts w:ascii="Arial" w:hAnsi="Arial" w:cs="Arial"/>
          <w:sz w:val="24"/>
          <w:szCs w:val="24"/>
        </w:rPr>
      </w:pPr>
      <w:r>
        <w:rPr>
          <w:rFonts w:ascii="Arial" w:hAnsi="Arial" w:cs="Arial"/>
          <w:sz w:val="24"/>
          <w:szCs w:val="24"/>
        </w:rPr>
        <w:t>An overview of the relationship with the External Auditors, the reports considered etc.</w:t>
      </w:r>
    </w:p>
    <w:p w:rsidR="00046FBE" w:rsidRDefault="00046FBE" w:rsidP="00046FBE">
      <w:pPr>
        <w:shd w:val="clear" w:color="auto" w:fill="D9D9D9" w:themeFill="background1" w:themeFillShade="D9"/>
        <w:rPr>
          <w:rFonts w:ascii="Arial" w:hAnsi="Arial" w:cs="Arial"/>
          <w:b/>
          <w:sz w:val="24"/>
          <w:szCs w:val="24"/>
        </w:rPr>
      </w:pPr>
      <w:r>
        <w:rPr>
          <w:rFonts w:ascii="Arial" w:hAnsi="Arial" w:cs="Arial"/>
          <w:b/>
          <w:sz w:val="24"/>
          <w:szCs w:val="24"/>
        </w:rPr>
        <w:t>Financial Reporting</w:t>
      </w:r>
    </w:p>
    <w:p w:rsidR="00046FBE" w:rsidRDefault="003F51FC" w:rsidP="00046FBE">
      <w:pPr>
        <w:tabs>
          <w:tab w:val="left" w:pos="1272"/>
        </w:tabs>
        <w:rPr>
          <w:rFonts w:ascii="Arial" w:hAnsi="Arial" w:cs="Arial"/>
          <w:sz w:val="24"/>
          <w:szCs w:val="24"/>
        </w:rPr>
      </w:pPr>
      <w:proofErr w:type="gramStart"/>
      <w:r>
        <w:rPr>
          <w:rFonts w:ascii="Arial" w:hAnsi="Arial" w:cs="Arial"/>
          <w:sz w:val="24"/>
          <w:szCs w:val="24"/>
        </w:rPr>
        <w:t xml:space="preserve">Work undertaken by the Committee </w:t>
      </w:r>
      <w:r w:rsidR="00680751">
        <w:rPr>
          <w:rFonts w:ascii="Arial" w:hAnsi="Arial" w:cs="Arial"/>
          <w:sz w:val="24"/>
          <w:szCs w:val="24"/>
        </w:rPr>
        <w:t>in reviewing the annual statement of accounts prior to approval and considering the External Auditor’s report on issues arising from the audit of the accounts, highlighting anything of significance.</w:t>
      </w:r>
      <w:proofErr w:type="gramEnd"/>
      <w:r>
        <w:rPr>
          <w:rFonts w:ascii="Arial" w:hAnsi="Arial" w:cs="Arial"/>
          <w:sz w:val="24"/>
          <w:szCs w:val="24"/>
        </w:rPr>
        <w:t xml:space="preserve"> </w:t>
      </w:r>
    </w:p>
    <w:p w:rsidR="00046FBE" w:rsidRPr="00046FBE" w:rsidRDefault="00046FBE" w:rsidP="00046FBE">
      <w:pPr>
        <w:shd w:val="clear" w:color="auto" w:fill="D9D9D9" w:themeFill="background1" w:themeFillShade="D9"/>
        <w:tabs>
          <w:tab w:val="left" w:pos="1272"/>
        </w:tabs>
        <w:rPr>
          <w:rFonts w:ascii="Arial" w:hAnsi="Arial" w:cs="Arial"/>
          <w:b/>
          <w:sz w:val="24"/>
          <w:szCs w:val="24"/>
        </w:rPr>
      </w:pPr>
      <w:r>
        <w:rPr>
          <w:rFonts w:ascii="Arial" w:hAnsi="Arial" w:cs="Arial"/>
          <w:b/>
          <w:sz w:val="24"/>
          <w:szCs w:val="24"/>
        </w:rPr>
        <w:t>Treasury Management</w:t>
      </w:r>
    </w:p>
    <w:p w:rsidR="00046FBE" w:rsidRDefault="00BD3B32" w:rsidP="00046FBE">
      <w:pPr>
        <w:tabs>
          <w:tab w:val="left" w:pos="1272"/>
        </w:tabs>
        <w:rPr>
          <w:rFonts w:ascii="Arial" w:hAnsi="Arial" w:cs="Arial"/>
          <w:sz w:val="24"/>
          <w:szCs w:val="24"/>
        </w:rPr>
      </w:pPr>
      <w:proofErr w:type="gramStart"/>
      <w:r>
        <w:rPr>
          <w:rFonts w:ascii="Arial" w:hAnsi="Arial" w:cs="Arial"/>
          <w:sz w:val="24"/>
          <w:szCs w:val="24"/>
        </w:rPr>
        <w:t xml:space="preserve">The Committee’s review of the Treasury Management Strategy and the monitoring of </w:t>
      </w:r>
      <w:r w:rsidR="00404125">
        <w:rPr>
          <w:rFonts w:ascii="Arial" w:hAnsi="Arial" w:cs="Arial"/>
          <w:sz w:val="24"/>
          <w:szCs w:val="24"/>
        </w:rPr>
        <w:t>p</w:t>
      </w:r>
      <w:r>
        <w:rPr>
          <w:rFonts w:ascii="Arial" w:hAnsi="Arial" w:cs="Arial"/>
          <w:sz w:val="24"/>
          <w:szCs w:val="24"/>
        </w:rPr>
        <w:t>rogress</w:t>
      </w:r>
      <w:r w:rsidR="00404125">
        <w:rPr>
          <w:rFonts w:ascii="Arial" w:hAnsi="Arial" w:cs="Arial"/>
          <w:sz w:val="24"/>
          <w:szCs w:val="24"/>
        </w:rPr>
        <w:t>.</w:t>
      </w:r>
      <w:proofErr w:type="gramEnd"/>
      <w:r>
        <w:rPr>
          <w:rFonts w:ascii="Arial" w:hAnsi="Arial" w:cs="Arial"/>
          <w:sz w:val="24"/>
          <w:szCs w:val="24"/>
        </w:rPr>
        <w:t xml:space="preserve"> </w:t>
      </w:r>
    </w:p>
    <w:p w:rsidR="00046FBE" w:rsidRDefault="00046FBE" w:rsidP="00046FBE">
      <w:pPr>
        <w:shd w:val="clear" w:color="auto" w:fill="D9D9D9" w:themeFill="background1" w:themeFillShade="D9"/>
        <w:tabs>
          <w:tab w:val="left" w:pos="1272"/>
        </w:tabs>
        <w:rPr>
          <w:rFonts w:ascii="Arial" w:hAnsi="Arial" w:cs="Arial"/>
          <w:b/>
          <w:sz w:val="24"/>
          <w:szCs w:val="24"/>
        </w:rPr>
      </w:pPr>
      <w:r>
        <w:rPr>
          <w:rFonts w:ascii="Arial" w:hAnsi="Arial" w:cs="Arial"/>
          <w:b/>
          <w:sz w:val="24"/>
          <w:szCs w:val="24"/>
        </w:rPr>
        <w:t>Health &amp; Safety</w:t>
      </w:r>
    </w:p>
    <w:p w:rsidR="00046FBE" w:rsidRDefault="00404125" w:rsidP="00046FBE">
      <w:pPr>
        <w:tabs>
          <w:tab w:val="left" w:pos="1272"/>
        </w:tabs>
        <w:rPr>
          <w:rFonts w:ascii="Arial" w:hAnsi="Arial" w:cs="Arial"/>
          <w:sz w:val="24"/>
          <w:szCs w:val="24"/>
        </w:rPr>
      </w:pPr>
      <w:proofErr w:type="gramStart"/>
      <w:r>
        <w:rPr>
          <w:rFonts w:ascii="Arial" w:hAnsi="Arial" w:cs="Arial"/>
          <w:sz w:val="24"/>
          <w:szCs w:val="24"/>
        </w:rPr>
        <w:t>The work undertaken by the Committee to review the Council’s Health &amp; Safety arrangements and oversee progress.</w:t>
      </w:r>
      <w:proofErr w:type="gramEnd"/>
      <w:r w:rsidR="00046FBE">
        <w:rPr>
          <w:rFonts w:ascii="Arial" w:hAnsi="Arial" w:cs="Arial"/>
          <w:sz w:val="24"/>
          <w:szCs w:val="24"/>
        </w:rPr>
        <w:tab/>
      </w:r>
    </w:p>
    <w:p w:rsidR="00046FBE" w:rsidRDefault="00046FBE" w:rsidP="00046FBE">
      <w:pPr>
        <w:shd w:val="clear" w:color="auto" w:fill="D9D9D9" w:themeFill="background1" w:themeFillShade="D9"/>
        <w:tabs>
          <w:tab w:val="left" w:pos="1272"/>
        </w:tabs>
        <w:rPr>
          <w:rFonts w:ascii="Arial" w:hAnsi="Arial" w:cs="Arial"/>
          <w:b/>
          <w:sz w:val="24"/>
          <w:szCs w:val="24"/>
        </w:rPr>
      </w:pPr>
      <w:r w:rsidRPr="00046FBE">
        <w:rPr>
          <w:rFonts w:ascii="Arial" w:hAnsi="Arial" w:cs="Arial"/>
          <w:b/>
          <w:sz w:val="24"/>
          <w:szCs w:val="24"/>
        </w:rPr>
        <w:t>Standards</w:t>
      </w:r>
    </w:p>
    <w:p w:rsidR="00046FBE" w:rsidRDefault="00404125" w:rsidP="00404125">
      <w:pPr>
        <w:rPr>
          <w:rFonts w:ascii="Arial" w:hAnsi="Arial" w:cs="Arial"/>
          <w:sz w:val="24"/>
          <w:szCs w:val="24"/>
        </w:rPr>
      </w:pPr>
      <w:r>
        <w:rPr>
          <w:rFonts w:ascii="Arial" w:hAnsi="Arial" w:cs="Arial"/>
          <w:sz w:val="24"/>
          <w:szCs w:val="24"/>
        </w:rPr>
        <w:t>The committee’s role in promoting and maintaining high standards of conduct by Councillors and an overview of Standards items considered during the year.</w:t>
      </w:r>
    </w:p>
    <w:p w:rsidR="00046FBE" w:rsidRPr="00046FBE" w:rsidRDefault="00046FBE" w:rsidP="00046FBE">
      <w:pPr>
        <w:shd w:val="clear" w:color="auto" w:fill="D9D9D9" w:themeFill="background1" w:themeFillShade="D9"/>
        <w:rPr>
          <w:rFonts w:ascii="Arial" w:hAnsi="Arial" w:cs="Arial"/>
          <w:b/>
          <w:sz w:val="24"/>
          <w:szCs w:val="24"/>
        </w:rPr>
      </w:pPr>
      <w:r w:rsidRPr="00046FBE">
        <w:rPr>
          <w:rFonts w:ascii="Arial" w:hAnsi="Arial" w:cs="Arial"/>
          <w:b/>
          <w:sz w:val="24"/>
          <w:szCs w:val="24"/>
        </w:rPr>
        <w:t>Conclusion</w:t>
      </w:r>
    </w:p>
    <w:p w:rsidR="00046FBE" w:rsidRDefault="00046FBE" w:rsidP="00046FBE">
      <w:pPr>
        <w:rPr>
          <w:rFonts w:ascii="Arial" w:hAnsi="Arial" w:cs="Arial"/>
          <w:sz w:val="24"/>
          <w:szCs w:val="24"/>
        </w:rPr>
      </w:pPr>
      <w:proofErr w:type="gramStart"/>
      <w:r>
        <w:rPr>
          <w:rFonts w:ascii="Arial" w:hAnsi="Arial" w:cs="Arial"/>
          <w:sz w:val="24"/>
          <w:szCs w:val="24"/>
        </w:rPr>
        <w:t>On whether the Committee has fulfilled its purpose/roles and responsibilities as outlined in its agreed Terms of Reference.</w:t>
      </w:r>
      <w:proofErr w:type="gramEnd"/>
    </w:p>
    <w:p w:rsidR="00404125" w:rsidRDefault="00404125" w:rsidP="00404125">
      <w:pPr>
        <w:shd w:val="clear" w:color="auto" w:fill="D9D9D9" w:themeFill="background1" w:themeFillShade="D9"/>
        <w:rPr>
          <w:rFonts w:ascii="Arial" w:hAnsi="Arial" w:cs="Arial"/>
          <w:b/>
          <w:sz w:val="24"/>
          <w:szCs w:val="24"/>
        </w:rPr>
      </w:pPr>
      <w:r w:rsidRPr="00404125">
        <w:rPr>
          <w:rFonts w:ascii="Arial" w:hAnsi="Arial" w:cs="Arial"/>
          <w:b/>
          <w:sz w:val="24"/>
          <w:szCs w:val="24"/>
        </w:rPr>
        <w:t>Recommendations</w:t>
      </w:r>
    </w:p>
    <w:p w:rsidR="00404125" w:rsidRPr="00404125" w:rsidRDefault="00404125" w:rsidP="00404125">
      <w:pPr>
        <w:rPr>
          <w:rFonts w:ascii="Arial" w:hAnsi="Arial" w:cs="Arial"/>
          <w:sz w:val="24"/>
          <w:szCs w:val="24"/>
        </w:rPr>
      </w:pPr>
      <w:r>
        <w:rPr>
          <w:rFonts w:ascii="Arial" w:hAnsi="Arial" w:cs="Arial"/>
          <w:sz w:val="24"/>
          <w:szCs w:val="24"/>
        </w:rPr>
        <w:t>Any recommendations the Committee may wish to make.</w:t>
      </w:r>
    </w:p>
    <w:sectPr w:rsidR="00404125" w:rsidRPr="004041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BE" w:rsidRDefault="00046FBE" w:rsidP="00046FBE">
      <w:pPr>
        <w:spacing w:after="0" w:line="240" w:lineRule="auto"/>
      </w:pPr>
      <w:r>
        <w:separator/>
      </w:r>
    </w:p>
  </w:endnote>
  <w:endnote w:type="continuationSeparator" w:id="0">
    <w:p w:rsidR="00046FBE" w:rsidRDefault="00046FBE" w:rsidP="000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BE" w:rsidRDefault="00046FBE" w:rsidP="00046FBE">
      <w:pPr>
        <w:spacing w:after="0" w:line="240" w:lineRule="auto"/>
      </w:pPr>
      <w:r>
        <w:separator/>
      </w:r>
    </w:p>
  </w:footnote>
  <w:footnote w:type="continuationSeparator" w:id="0">
    <w:p w:rsidR="00046FBE" w:rsidRDefault="00046FBE" w:rsidP="00046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30"/>
    <w:rsid w:val="00046FBE"/>
    <w:rsid w:val="001C00B6"/>
    <w:rsid w:val="00397921"/>
    <w:rsid w:val="003F51FC"/>
    <w:rsid w:val="00404125"/>
    <w:rsid w:val="005A0820"/>
    <w:rsid w:val="006733FA"/>
    <w:rsid w:val="00680751"/>
    <w:rsid w:val="007B7BAC"/>
    <w:rsid w:val="00BD3B32"/>
    <w:rsid w:val="00D600B0"/>
    <w:rsid w:val="00DC652E"/>
    <w:rsid w:val="00E67270"/>
    <w:rsid w:val="00E91B4D"/>
    <w:rsid w:val="00EA69B6"/>
    <w:rsid w:val="00F40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Dixson</dc:creator>
  <cp:keywords/>
  <dc:description/>
  <cp:lastModifiedBy>Susan Dixson</cp:lastModifiedBy>
  <cp:revision>4</cp:revision>
  <dcterms:created xsi:type="dcterms:W3CDTF">2019-04-01T14:36:00Z</dcterms:created>
  <dcterms:modified xsi:type="dcterms:W3CDTF">2019-04-02T17:13:00Z</dcterms:modified>
</cp:coreProperties>
</file>